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sz w:val="32"/>
          <w:szCs w:val="32"/>
          <w:shd w:val="clear" w:color="auto" w:fill="FFFFFF"/>
        </w:rPr>
        <w:t>附件一</w:t>
      </w:r>
    </w:p>
    <w:p>
      <w:pPr>
        <w:spacing w:line="520" w:lineRule="exact"/>
        <w:ind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南宁市建筑施工安全生产标准化示范企业评选办法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一、评优条件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1.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企业管理，参评企业（单位）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各项管理制度健全，有完善的安全生产管理保证体系，重视安全生产标准化工作，企业社会形象良好；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2.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参评企业（单位）在2019年度内无较大及以上生产安全事故、且近两年内获得市级以上的“安全文明工地”不少于2项；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3.参评企业在推行安全生产技术进步、应用安全生产新技术方面取得显著成绩；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4.支持协会工作，参加协会组织的活动，按时缴纳会费。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二、申报材料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申报表一式两份；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2.企业法人营业执照、资质证书、安全生产许可证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复印件；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年度内获得的安全文明奖证书复印件；</w:t>
      </w:r>
    </w:p>
    <w:p>
      <w:pPr>
        <w:spacing w:line="360" w:lineRule="auto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4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年度内其他获奖证书复印件；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5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以上文字材料（A4纸）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应装订成册，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提交纸质版和电子文档。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三、本办法由南宁市建设工程质量安全协会负责解</w:t>
      </w:r>
      <w:r>
        <w:rPr>
          <w:rFonts w:hint="eastAsia" w:ascii="仿宋" w:hAnsi="仿宋" w:eastAsia="仿宋"/>
          <w:sz w:val="32"/>
          <w:szCs w:val="32"/>
        </w:rPr>
        <w:t>释。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南宁市建筑施工安全生产标准化示范企业（单位）申报表</w:t>
      </w:r>
    </w:p>
    <w:p>
      <w:pPr>
        <w:spacing w:line="520" w:lineRule="exact"/>
        <w:jc w:val="both"/>
        <w:rPr>
          <w:rFonts w:hint="eastAsia" w:ascii="仿宋" w:hAnsi="仿宋" w:eastAsia="仿宋" w:cs="Times New Roman"/>
          <w:sz w:val="32"/>
          <w:szCs w:val="32"/>
        </w:rPr>
      </w:pP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2126"/>
        <w:gridCol w:w="1134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名称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276" w:lineRule="auto"/>
              <w:ind w:right="560"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276" w:lineRule="auto"/>
              <w:ind w:left="3320" w:leftChars="200" w:right="560" w:hanging="2720" w:hangingChars="850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地址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 系 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职务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传真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资质等级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安全文明工地奖（时间、工程、奖项）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320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其他奖项（时间、小组、奖项）</w:t>
            </w:r>
          </w:p>
        </w:tc>
        <w:tc>
          <w:tcPr>
            <w:tcW w:w="5899" w:type="dxa"/>
            <w:gridSpan w:val="3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108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2019年度主要业绩：</w:t>
            </w:r>
          </w:p>
          <w:p>
            <w:pPr>
              <w:spacing w:line="520" w:lineRule="exact"/>
              <w:ind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20" w:lineRule="exact"/>
              <w:ind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91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南宁市建设工程质量安全协会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审定意见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：</w:t>
            </w: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right="960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560" w:firstLineChars="205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公章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）</w:t>
            </w:r>
          </w:p>
          <w:p>
            <w:pPr>
              <w:spacing w:line="520" w:lineRule="exact"/>
              <w:ind w:left="6360" w:leftChars="200" w:hanging="5760" w:hangingChars="1800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     　　　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2019-12-10T01:46:40Z</dcterms:created>
  <dc:creator>admin</dc:creator>
  <cp:lastModifiedBy>zio进</cp:lastModifiedBy>
  <dcterms:modified xsi:type="dcterms:W3CDTF">2019-12-10T01:50:55Z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